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B7" w:rsidRPr="002E2765" w:rsidRDefault="00BA1DB7" w:rsidP="00E51457">
      <w:pPr>
        <w:pStyle w:val="Corpodel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deltesto"/>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2)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A20882" w:rsidRPr="006E76C0" w:rsidRDefault="00345EB3" w:rsidP="00A20882">
      <w:pPr>
        <w:tabs>
          <w:tab w:val="right" w:leader="underscore" w:pos="9720"/>
        </w:tabs>
        <w:spacing w:before="120"/>
        <w:ind w:left="2268" w:right="-82" w:hanging="2268"/>
        <w:jc w:val="both"/>
        <w:rPr>
          <w:rFonts w:ascii="Arial" w:hAnsi="Arial" w:cs="Arial"/>
          <w:iCs/>
          <w:sz w:val="20"/>
          <w:szCs w:val="20"/>
        </w:rPr>
      </w:pPr>
      <w:r>
        <w:rPr>
          <w:rFonts w:ascii="Arial" w:hAnsi="Arial"/>
          <w:b/>
          <w:sz w:val="20"/>
        </w:rPr>
        <w:t xml:space="preserve">Gegenstand der Ausschreibung: </w:t>
      </w:r>
      <w:r>
        <w:tab/>
      </w:r>
      <w:r>
        <w:rPr>
          <w:rFonts w:ascii="Arial" w:hAnsi="Arial"/>
          <w:b/>
          <w:sz w:val="20"/>
        </w:rPr>
        <w:t>AP140 - Arbeiten für die Errichtung des Erkundungsloses E52 - Padastertal.</w:t>
      </w:r>
    </w:p>
    <w:p w:rsidR="00345EB3" w:rsidRDefault="00345EB3" w:rsidP="00345EB3">
      <w:pPr>
        <w:rPr>
          <w:sz w:val="12"/>
          <w:szCs w:val="12"/>
        </w:rPr>
      </w:pPr>
    </w:p>
    <w:p w:rsidR="00492E54" w:rsidRDefault="00E3784E" w:rsidP="00345EB3">
      <w:pPr>
        <w:rPr>
          <w:sz w:val="12"/>
          <w:szCs w:val="12"/>
        </w:rPr>
      </w:pPr>
      <w:r w:rsidRPr="00E3784E">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p w:rsidR="002E467B" w:rsidRPr="00BA46E8" w:rsidRDefault="002E467B" w:rsidP="002E467B">
      <w:pPr>
        <w:pStyle w:val="Corpodeltesto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Pr>
                <w:rFonts w:ascii="Arial" w:hAnsi="Arial" w:cs="Arial"/>
              </w:rPr>
            </w:r>
            <w:r>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Testonotaapidipagina"/>
              <w:spacing w:after="60"/>
              <w:rPr>
                <w:rFonts w:ascii="Arial" w:hAnsi="Arial" w:cs="Arial"/>
              </w:rPr>
            </w:pPr>
          </w:p>
          <w:p w:rsidR="000F6D1E" w:rsidRDefault="00E3784E"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Pr>
                <w:rFonts w:ascii="Arial" w:hAnsi="Arial" w:cs="Arial"/>
              </w:rPr>
            </w:r>
            <w:r>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Testonotaapidipagina"/>
              <w:spacing w:after="60"/>
              <w:ind w:left="110" w:hanging="110"/>
              <w:rPr>
                <w:rFonts w:ascii="Arial" w:hAnsi="Arial" w:cs="Arial"/>
              </w:rPr>
            </w:pPr>
          </w:p>
          <w:p w:rsidR="000F6D1E" w:rsidRDefault="000F6D1E" w:rsidP="000F6D1E">
            <w:pPr>
              <w:pStyle w:val="Testonotaapidipagina"/>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Testonotaapidipagina"/>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2"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r w:rsidR="005307E5">
        <w:rPr>
          <w:rFonts w:ascii="Arial" w:hAnsi="Arial"/>
          <w:sz w:val="20"/>
        </w:rPr>
        <w:t>;</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8"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9"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0"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1"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Pr>
          <w:rFonts w:ascii="Arial" w:hAnsi="Arial" w:cs="Arial"/>
        </w:rPr>
      </w:r>
      <w:r>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Pr>
          <w:rFonts w:ascii="Arial" w:hAnsi="Arial" w:cs="Arial"/>
        </w:rPr>
      </w:r>
      <w:r>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lastRenderedPageBreak/>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Pr>
          <w:rFonts w:ascii="Arial" w:hAnsi="Arial" w:cs="Arial"/>
        </w:rPr>
      </w:r>
      <w:r>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Pr="00E423EC" w:rsidRDefault="00E3784E" w:rsidP="008016C3">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Pr>
          <w:rFonts w:ascii="Arial" w:hAnsi="Arial" w:cs="Arial"/>
        </w:rPr>
      </w:r>
      <w:r>
        <w:rPr>
          <w:rFonts w:ascii="Arial" w:hAnsi="Arial" w:cs="Arial"/>
        </w:rPr>
        <w:fldChar w:fldCharType="separate"/>
      </w:r>
      <w:r w:rsidRPr="00E423EC">
        <w:rPr>
          <w:rFonts w:ascii="Arial" w:hAnsi="Arial" w:cs="Arial"/>
        </w:rPr>
        <w:fldChar w:fldCharType="end"/>
      </w:r>
      <w:r w:rsidR="005307E5">
        <w:rPr>
          <w:rFonts w:ascii="Arial" w:hAnsi="Arial"/>
          <w:sz w:val="20"/>
        </w:rPr>
        <w:t xml:space="preserve"> Leistungen, welche zur Hauptkategorie OG4 gehören, bis zu 30%;</w:t>
      </w:r>
    </w:p>
    <w:p w:rsidR="00201D33" w:rsidRPr="00E423EC" w:rsidRDefault="00E3784E" w:rsidP="008016C3">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Pr>
          <w:rFonts w:ascii="Arial" w:hAnsi="Arial" w:cs="Arial"/>
        </w:rPr>
      </w:r>
      <w:r>
        <w:rPr>
          <w:rFonts w:ascii="Arial" w:hAnsi="Arial" w:cs="Arial"/>
        </w:rPr>
        <w:fldChar w:fldCharType="separate"/>
      </w:r>
      <w:r w:rsidRPr="00E423EC">
        <w:rPr>
          <w:rFonts w:ascii="Arial" w:hAnsi="Arial" w:cs="Arial"/>
        </w:rPr>
        <w:fldChar w:fldCharType="end"/>
      </w:r>
      <w:r w:rsidR="005307E5">
        <w:rPr>
          <w:rFonts w:ascii="Arial" w:hAnsi="Arial"/>
          <w:sz w:val="20"/>
        </w:rPr>
        <w:t xml:space="preserve"> Leistungen, welche zur getrennt ausführbaren Kategorie OG8 gehören;</w:t>
      </w:r>
    </w:p>
    <w:p w:rsidR="005F1169" w:rsidRPr="00E423EC" w:rsidRDefault="00E3784E" w:rsidP="005F1169">
      <w:pPr>
        <w:pStyle w:val="Rientrocorpodeltesto"/>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5F1169" w:rsidRPr="00E423EC">
        <w:rPr>
          <w:rFonts w:ascii="Arial" w:hAnsi="Arial" w:cs="Arial"/>
        </w:rPr>
        <w:instrText xml:space="preserve"> FORMCHECKBOX </w:instrText>
      </w:r>
      <w:r>
        <w:rPr>
          <w:rFonts w:ascii="Arial" w:hAnsi="Arial" w:cs="Arial"/>
        </w:rPr>
      </w:r>
      <w:r>
        <w:rPr>
          <w:rFonts w:ascii="Arial" w:hAnsi="Arial" w:cs="Arial"/>
        </w:rPr>
        <w:fldChar w:fldCharType="separate"/>
      </w:r>
      <w:r w:rsidRPr="00E423EC">
        <w:rPr>
          <w:rFonts w:ascii="Arial" w:hAnsi="Arial" w:cs="Arial"/>
        </w:rPr>
        <w:fldChar w:fldCharType="end"/>
      </w:r>
      <w:r w:rsidR="005307E5">
        <w:rPr>
          <w:rFonts w:ascii="Arial" w:hAnsi="Arial"/>
          <w:sz w:val="20"/>
        </w:rPr>
        <w:t xml:space="preserve"> Leistungen, welche zur Kategorie OS1 gehören.</w:t>
      </w:r>
    </w:p>
    <w:p w:rsidR="00201D33" w:rsidRPr="00D1286F" w:rsidRDefault="00201D33" w:rsidP="008016C3">
      <w:pPr>
        <w:pStyle w:val="Rientrocorpodeltesto"/>
        <w:tabs>
          <w:tab w:val="num" w:pos="0"/>
          <w:tab w:val="left" w:pos="8496"/>
        </w:tabs>
        <w:suppressAutoHyphens/>
        <w:ind w:left="0"/>
        <w:jc w:val="both"/>
        <w:rPr>
          <w:rFonts w:ascii="Arial" w:hAnsi="Arial" w:cs="Arial"/>
          <w:b/>
          <w:sz w:val="20"/>
          <w:szCs w:val="20"/>
          <w:u w:val="single"/>
        </w:rPr>
      </w:pPr>
      <w:r>
        <w:rPr>
          <w:rFonts w:ascii="Arial" w:hAnsi="Arial"/>
          <w:b/>
          <w:sz w:val="20"/>
          <w:u w:val="single"/>
        </w:rPr>
        <w:t>N.B.</w:t>
      </w:r>
    </w:p>
    <w:p w:rsidR="005F1169" w:rsidRPr="005F1169" w:rsidRDefault="005F1169" w:rsidP="008016C3">
      <w:pPr>
        <w:pStyle w:val="Rientrocorpodeltesto"/>
        <w:tabs>
          <w:tab w:val="num" w:pos="0"/>
          <w:tab w:val="left" w:pos="8496"/>
        </w:tabs>
        <w:suppressAutoHyphens/>
        <w:ind w:left="0"/>
        <w:jc w:val="both"/>
        <w:rPr>
          <w:rFonts w:ascii="Arial" w:hAnsi="Arial" w:cs="Arial"/>
          <w:b/>
          <w:sz w:val="20"/>
          <w:szCs w:val="20"/>
        </w:rPr>
      </w:pPr>
      <w:r>
        <w:rPr>
          <w:rFonts w:ascii="Arial" w:hAnsi="Arial"/>
          <w:b/>
          <w:sz w:val="20"/>
        </w:rPr>
        <w:t xml:space="preserve">- Der Bieter muss die auf ihn zutreffenden Fälle ankreuzen; bei fehlender Angabe gilt die Erklärung zur Weitervergabe als </w:t>
      </w:r>
      <w:r>
        <w:rPr>
          <w:rFonts w:ascii="Arial" w:hAnsi="Arial"/>
          <w:b/>
          <w:sz w:val="20"/>
          <w:u w:val="single"/>
        </w:rPr>
        <w:t>nicht</w:t>
      </w:r>
      <w:r>
        <w:rPr>
          <w:rFonts w:ascii="Arial" w:hAnsi="Arial"/>
          <w:b/>
          <w:sz w:val="20"/>
        </w:rPr>
        <w:t xml:space="preserve"> eingereicht und die nicht angegebenen Arbeiten sind direkt vom Auftragnehmer auszuführen, mit den folgenden zwingenden Folgen, auch in Bezug auf die für die Teilnahme an der Ausschreibung verlangten Qualifikationsanforderungen: </w:t>
      </w:r>
    </w:p>
    <w:p w:rsidR="00201D33" w:rsidRPr="005F1169" w:rsidRDefault="005F1169" w:rsidP="008016C3">
      <w:pPr>
        <w:pStyle w:val="Rientrocorpodeltesto"/>
        <w:tabs>
          <w:tab w:val="num" w:pos="0"/>
          <w:tab w:val="left" w:pos="8496"/>
        </w:tabs>
        <w:suppressAutoHyphens/>
        <w:ind w:left="0"/>
        <w:jc w:val="both"/>
        <w:rPr>
          <w:rFonts w:ascii="Arial" w:hAnsi="Arial" w:cs="Arial"/>
          <w:b/>
          <w:sz w:val="20"/>
          <w:szCs w:val="20"/>
        </w:rPr>
      </w:pPr>
      <w:r>
        <w:rPr>
          <w:rFonts w:ascii="Arial" w:hAnsi="Arial"/>
          <w:b/>
          <w:sz w:val="20"/>
        </w:rPr>
        <w:t>- Jene Bieter, die über keine geeignete Qualifizierung in der weitervergebbaren Kategorie OG8 verfügen, müssen bei sonstigem Ausschluss ihre Absicht zur Weitervergabe erklären.</w:t>
      </w:r>
    </w:p>
    <w:p w:rsidR="00201D33" w:rsidRDefault="00201D33"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56217B">
      <w:rPr>
        <w:rStyle w:val="Numeropagina"/>
        <w:noProof/>
      </w:rPr>
      <w:t>3</w:t>
    </w:r>
    <w:r>
      <w:rPr>
        <w:rStyle w:val="Numeropagina"/>
      </w:rPr>
      <w:fldChar w:fldCharType="end"/>
    </w:r>
  </w:p>
  <w:p w:rsidR="00465E52" w:rsidRPr="00965EF9" w:rsidRDefault="00465E52" w:rsidP="00131987">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NotTrackFormatting/>
  <w:defaultTabStop w:val="708"/>
  <w:hyphenationZone w:val="283"/>
  <w:noPunctuationKerning/>
  <w:characterSpacingControl w:val="doNotCompress"/>
  <w:footnotePr>
    <w:footnote w:id="-1"/>
    <w:footnote w:id="0"/>
  </w:footnotePr>
  <w:endnotePr>
    <w:endnote w:id="-1"/>
    <w:endnote w:id="0"/>
  </w:endnotePr>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del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com/info/norme/statali/2006_0163.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com/info/norme/statali/codicecivile.htm" TargetMode="External"/><Relationship Id="rId4" Type="http://schemas.openxmlformats.org/officeDocument/2006/relationships/settings" Target="settings.xml"/><Relationship Id="rId9" Type="http://schemas.openxmlformats.org/officeDocument/2006/relationships/hyperlink" Target="http://www.bosettiegatti.com/info/norme/statali/2006_0163.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AF87-783D-4C35-9ECE-E6696939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1564</Words>
  <Characters>8916</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10460</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cp:revision>
  <cp:lastPrinted>2012-11-13T07:47:00Z</cp:lastPrinted>
  <dcterms:created xsi:type="dcterms:W3CDTF">2013-05-16T12:50:00Z</dcterms:created>
  <dcterms:modified xsi:type="dcterms:W3CDTF">2013-05-16T12:50:00Z</dcterms:modified>
</cp:coreProperties>
</file>