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ISTANZA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 AMMISSIONE ALLA GARA</w:t>
      </w:r>
      <w:r w:rsidR="00B010C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016311">
        <w:rPr>
          <w:rFonts w:ascii="Arial" w:hAnsi="Arial" w:cs="Arial"/>
          <w:b/>
          <w:bCs/>
          <w:i/>
          <w:iCs/>
          <w:sz w:val="20"/>
          <w:szCs w:val="20"/>
        </w:rPr>
        <w:t>8.</w:t>
      </w:r>
      <w:r w:rsidR="00927D54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016311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BF2361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bookmarkStart w:id="0" w:name="_GoBack"/>
      <w:r w:rsidR="00BF2361">
        <w:rPr>
          <w:rFonts w:ascii="Arial" w:hAnsi="Arial" w:cs="Arial"/>
          <w:b/>
          <w:bCs/>
          <w:i/>
          <w:iCs/>
          <w:sz w:val="20"/>
          <w:szCs w:val="20"/>
        </w:rPr>
        <w:t xml:space="preserve">punto </w:t>
      </w:r>
      <w:r w:rsidR="00BF2361" w:rsidRPr="00931110">
        <w:rPr>
          <w:rFonts w:ascii="Arial" w:hAnsi="Arial" w:cs="Arial"/>
          <w:b/>
          <w:bCs/>
          <w:i/>
          <w:iCs/>
          <w:sz w:val="20"/>
          <w:szCs w:val="20"/>
        </w:rPr>
        <w:t>1)</w:t>
      </w:r>
      <w:r w:rsidR="00005427" w:rsidRPr="0093111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bookmarkEnd w:id="0"/>
      <w:r w:rsidR="00005427" w:rsidRPr="00931110">
        <w:rPr>
          <w:rFonts w:ascii="Arial" w:hAnsi="Arial" w:cs="Arial"/>
          <w:b/>
          <w:bCs/>
          <w:i/>
          <w:iCs/>
          <w:sz w:val="20"/>
          <w:szCs w:val="20"/>
        </w:rPr>
        <w:t>del</w:t>
      </w:r>
      <w:r w:rsidR="00931110" w:rsidRPr="00931110">
        <w:rPr>
          <w:rFonts w:ascii="Arial" w:hAnsi="Arial" w:cs="Arial"/>
          <w:b/>
          <w:bCs/>
          <w:i/>
          <w:iCs/>
          <w:sz w:val="20"/>
          <w:szCs w:val="20"/>
        </w:rPr>
        <w:t xml:space="preserve"> Bando di gara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F30A3C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F30A3C">
        <w:rPr>
          <w:rFonts w:ascii="Arial" w:hAnsi="Arial" w:cs="Arial"/>
          <w:b/>
          <w:iCs/>
          <w:sz w:val="20"/>
          <w:szCs w:val="20"/>
        </w:rPr>
        <w:tab/>
      </w:r>
      <w:r w:rsidR="004036A2" w:rsidRPr="004036A2">
        <w:rPr>
          <w:rFonts w:ascii="Arial" w:hAnsi="Arial" w:cs="Arial"/>
          <w:b/>
          <w:iCs/>
          <w:sz w:val="20"/>
          <w:szCs w:val="20"/>
        </w:rPr>
        <w:t>AP22</w:t>
      </w:r>
      <w:r w:rsidR="0064774A">
        <w:rPr>
          <w:rFonts w:ascii="Arial" w:hAnsi="Arial" w:cs="Arial"/>
          <w:b/>
          <w:iCs/>
          <w:sz w:val="20"/>
          <w:szCs w:val="20"/>
        </w:rPr>
        <w:t>9</w:t>
      </w:r>
      <w:r w:rsidR="004036A2" w:rsidRPr="004036A2">
        <w:rPr>
          <w:rFonts w:ascii="Arial" w:hAnsi="Arial" w:cs="Arial"/>
          <w:b/>
          <w:iCs/>
          <w:sz w:val="20"/>
          <w:szCs w:val="20"/>
        </w:rPr>
        <w:t xml:space="preserve"> - </w:t>
      </w:r>
      <w:r w:rsidR="0064774A" w:rsidRPr="0064774A">
        <w:rPr>
          <w:rFonts w:ascii="Arial" w:hAnsi="Arial" w:cs="Arial"/>
          <w:b/>
          <w:iCs/>
          <w:sz w:val="20"/>
          <w:szCs w:val="20"/>
        </w:rPr>
        <w:t>Coordinamento della Sicurezza in fase esecutiva del lotto di costruzione “Mules 2-3”</w:t>
      </w:r>
    </w:p>
    <w:p w:rsidR="00F30A3C" w:rsidRDefault="00F30A3C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D02322" w:rsidRDefault="00927D54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7.95pt;width:482.65pt;height:212.95pt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Istanza)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solo dal consorzio (le consorziate esecutrici non sono obbligate a presentare la presente Istanza).</w:t>
                  </w:r>
                </w:p>
              </w:txbxContent>
            </v:textbox>
            <w10:wrap type="square"/>
          </v:shape>
        </w:pict>
      </w: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</w:t>
      </w:r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175229" w:rsidRDefault="00175229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  partecipare alla procedura aperta indicata in oggetto</w:t>
      </w:r>
      <w:r w:rsidR="00727D86">
        <w:rPr>
          <w:rStyle w:val="Rimandonotaapidipagina"/>
          <w:rFonts w:ascii="Arial" w:hAnsi="Arial" w:cs="Arial"/>
          <w:b/>
          <w:sz w:val="20"/>
          <w:szCs w:val="20"/>
        </w:rPr>
        <w:footnoteReference w:id="2"/>
      </w: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27D54">
              <w:rPr>
                <w:rFonts w:ascii="Arial" w:hAnsi="Arial" w:cs="Arial"/>
                <w:sz w:val="20"/>
                <w:szCs w:val="20"/>
              </w:rPr>
            </w:r>
            <w:r w:rsidR="00927D5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27D54">
              <w:rPr>
                <w:rFonts w:ascii="Arial" w:hAnsi="Arial" w:cs="Arial"/>
                <w:sz w:val="20"/>
                <w:szCs w:val="20"/>
              </w:rPr>
            </w:r>
            <w:r w:rsidR="00927D5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di </w:t>
            </w:r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6747AD" w:rsidP="000F6D1E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927D54">
              <w:rPr>
                <w:rFonts w:ascii="Arial" w:hAnsi="Arial" w:cs="Arial"/>
              </w:rPr>
            </w:r>
            <w:r w:rsidR="00927D54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0F6D1E" w:rsidRDefault="006747AD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927D54">
              <w:rPr>
                <w:rFonts w:ascii="Arial" w:hAnsi="Arial" w:cs="Arial"/>
              </w:rPr>
            </w:r>
            <w:r w:rsidR="00927D54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0F6D1E" w:rsidRDefault="000F6D1E" w:rsidP="00FF4F16">
            <w:pPr>
              <w:pStyle w:val="Testonotaapidipagina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6747AD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27D54">
              <w:rPr>
                <w:rFonts w:ascii="Arial" w:hAnsi="Arial" w:cs="Arial"/>
                <w:sz w:val="20"/>
                <w:szCs w:val="20"/>
              </w:rPr>
            </w:r>
            <w:r w:rsidR="00927D5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di 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FF4F16" w:rsidP="009575F5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</w:rPr>
              <w:instrText xml:space="preserve"> FORMCHECKBOX </w:instrText>
            </w:r>
            <w:r w:rsidR="00927D54">
              <w:rPr>
                <w:rFonts w:ascii="Arial" w:hAnsi="Arial" w:cs="Arial"/>
              </w:rPr>
            </w:r>
            <w:r w:rsidR="00927D54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175229" w:rsidRDefault="00175229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175229" w:rsidRDefault="00175229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79, comma 5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AC175D">
        <w:rPr>
          <w:rFonts w:ascii="Arial" w:hAnsi="Arial" w:cs="Arial"/>
          <w:sz w:val="20"/>
          <w:szCs w:val="20"/>
        </w:rPr>
        <w:t xml:space="preserve">l’invio delle comunicazioni di cui al comma 5 </w:t>
      </w:r>
      <w:bookmarkStart w:id="1" w:name="OLE_LINK1"/>
      <w:bookmarkStart w:id="2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1"/>
      <w:bookmarkEnd w:id="2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C611F">
        <w:rPr>
          <w:rFonts w:ascii="Arial" w:hAnsi="Arial" w:cs="Arial"/>
          <w:sz w:val="20"/>
          <w:szCs w:val="20"/>
        </w:rPr>
        <w:t xml:space="preserve">che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3" w:name="Controllo1"/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927D54">
        <w:rPr>
          <w:rFonts w:ascii="Arial" w:hAnsi="Arial" w:cs="Arial"/>
          <w:sz w:val="20"/>
          <w:szCs w:val="20"/>
        </w:rPr>
      </w:r>
      <w:r w:rsidR="00927D54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imprenditore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927D54">
        <w:rPr>
          <w:rFonts w:ascii="Arial" w:hAnsi="Arial" w:cs="Arial"/>
          <w:sz w:val="20"/>
          <w:szCs w:val="20"/>
        </w:rPr>
      </w:r>
      <w:r w:rsidR="00927D54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927D54">
        <w:rPr>
          <w:rFonts w:ascii="Arial" w:hAnsi="Arial" w:cs="Arial"/>
          <w:sz w:val="20"/>
          <w:szCs w:val="20"/>
        </w:rPr>
      </w:r>
      <w:r w:rsidR="00927D54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927D54">
        <w:rPr>
          <w:rFonts w:ascii="Arial" w:hAnsi="Arial" w:cs="Arial"/>
          <w:sz w:val="20"/>
          <w:szCs w:val="20"/>
        </w:rPr>
      </w:r>
      <w:r w:rsidR="00927D54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Tahoma" w:hAnsi="Tahoma" w:cs="Tahoma"/>
          <w:sz w:val="20"/>
          <w:szCs w:val="20"/>
        </w:rPr>
        <w:t xml:space="preserve">consorzio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27D54">
        <w:rPr>
          <w:rFonts w:ascii="Arial" w:hAnsi="Arial" w:cs="Arial"/>
          <w:sz w:val="20"/>
          <w:szCs w:val="20"/>
        </w:rPr>
      </w:r>
      <w:r w:rsidR="00927D5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27D54">
        <w:rPr>
          <w:rFonts w:ascii="Arial" w:hAnsi="Arial" w:cs="Arial"/>
          <w:sz w:val="20"/>
          <w:szCs w:val="20"/>
        </w:rPr>
      </w:r>
      <w:r w:rsidR="00927D5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27D54">
        <w:rPr>
          <w:rFonts w:ascii="Arial" w:hAnsi="Arial" w:cs="Arial"/>
          <w:sz w:val="20"/>
          <w:szCs w:val="20"/>
        </w:rPr>
      </w:r>
      <w:r w:rsidR="00927D5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  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27D54">
        <w:rPr>
          <w:rFonts w:ascii="Arial" w:hAnsi="Arial" w:cs="Arial"/>
          <w:sz w:val="20"/>
          <w:szCs w:val="20"/>
        </w:rPr>
      </w:r>
      <w:r w:rsidR="00927D5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3"/>
    <w:p w:rsidR="00F01C09" w:rsidRPr="00B04936" w:rsidRDefault="00F01C09" w:rsidP="005E00F2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6747AD" w:rsidP="00F01C0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27D54">
        <w:rPr>
          <w:rFonts w:ascii="Arial" w:hAnsi="Arial" w:cs="Arial"/>
          <w:sz w:val="20"/>
          <w:szCs w:val="20"/>
        </w:rPr>
      </w:r>
      <w:r w:rsidR="00927D5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altro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D2B11" w:rsidRDefault="001D2B11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C46D51" w:rsidRPr="003D51EA" w:rsidRDefault="00C46D5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lastRenderedPageBreak/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3D0C8E" w:rsidRDefault="003D0C8E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3D0C8E" w:rsidRPr="003D0C8E" w:rsidRDefault="003D0C8E" w:rsidP="003D0C8E">
      <w:pPr>
        <w:pStyle w:val="sche3"/>
        <w:rPr>
          <w:rFonts w:ascii="Arial" w:hAnsi="Arial" w:cs="Arial"/>
          <w:iCs/>
          <w:lang w:val="it-IT"/>
        </w:rPr>
      </w:pPr>
      <w:r w:rsidRPr="003D0C8E">
        <w:rPr>
          <w:rFonts w:ascii="Arial" w:hAnsi="Arial" w:cs="Arial"/>
          <w:iCs/>
          <w:lang w:val="it-IT"/>
        </w:rPr>
        <w:t>che il contratto verrà eseguito con le seguenti modalità:</w:t>
      </w:r>
    </w:p>
    <w:p w:rsidR="003D0C8E" w:rsidRDefault="003D0C8E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1"/>
        <w:gridCol w:w="6188"/>
      </w:tblGrid>
      <w:tr w:rsidR="00DF04A0" w:rsidRPr="00B434E7" w:rsidTr="00DF04A0">
        <w:tc>
          <w:tcPr>
            <w:tcW w:w="3451" w:type="dxa"/>
            <w:shd w:val="clear" w:color="auto" w:fill="auto"/>
            <w:vAlign w:val="center"/>
          </w:tcPr>
          <w:p w:rsidR="00DF04A0" w:rsidRPr="00B434E7" w:rsidRDefault="00DF04A0" w:rsidP="0003410B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6188" w:type="dxa"/>
            <w:shd w:val="clear" w:color="auto" w:fill="auto"/>
            <w:vAlign w:val="center"/>
          </w:tcPr>
          <w:p w:rsidR="00DF04A0" w:rsidRPr="00B434E7" w:rsidRDefault="00DF04A0" w:rsidP="0003410B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PRESTAZIONE/I CHE ESEGUIRA’</w:t>
            </w:r>
          </w:p>
        </w:tc>
      </w:tr>
      <w:tr w:rsidR="00DF04A0" w:rsidRPr="00B434E7" w:rsidTr="00DF04A0">
        <w:tc>
          <w:tcPr>
            <w:tcW w:w="3451" w:type="dxa"/>
            <w:shd w:val="clear" w:color="auto" w:fill="auto"/>
          </w:tcPr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Pr="00005427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CAPOGRUPPO MANDATARIA:</w:t>
            </w: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6188" w:type="dxa"/>
            <w:shd w:val="clear" w:color="auto" w:fill="auto"/>
          </w:tcPr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……………………………………..</w:t>
            </w: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Pr="0061551B" w:rsidRDefault="0061551B" w:rsidP="0003410B">
            <w:pPr>
              <w:pStyle w:val="sche3"/>
              <w:rPr>
                <w:rFonts w:ascii="Arial" w:hAnsi="Arial" w:cs="Arial"/>
                <w:b/>
                <w:lang w:val="it-IT"/>
              </w:rPr>
            </w:pPr>
            <w:r w:rsidRPr="0061551B">
              <w:rPr>
                <w:rFonts w:ascii="Arial" w:hAnsi="Arial" w:cs="Arial"/>
                <w:b/>
                <w:lang w:val="it-IT"/>
              </w:rPr>
              <w:t xml:space="preserve">Avvertenza: il soggetto mandatario dovrà eseguire le prestazioni in misura maggioritaria (giusto art. 275 </w:t>
            </w:r>
            <w:proofErr w:type="spellStart"/>
            <w:r w:rsidRPr="0061551B">
              <w:rPr>
                <w:rFonts w:ascii="Arial" w:hAnsi="Arial" w:cs="Arial"/>
                <w:b/>
                <w:lang w:val="it-IT"/>
              </w:rPr>
              <w:t>d.P.R.</w:t>
            </w:r>
            <w:proofErr w:type="spellEnd"/>
            <w:r w:rsidRPr="0061551B">
              <w:rPr>
                <w:rFonts w:ascii="Arial" w:hAnsi="Arial" w:cs="Arial"/>
                <w:b/>
                <w:lang w:val="it-IT"/>
              </w:rPr>
              <w:t xml:space="preserve"> n. 207/2010).</w:t>
            </w:r>
          </w:p>
          <w:p w:rsidR="00DF04A0" w:rsidRPr="0061551B" w:rsidRDefault="00DF04A0" w:rsidP="0003410B">
            <w:pPr>
              <w:pStyle w:val="sche3"/>
              <w:rPr>
                <w:rFonts w:ascii="Arial" w:hAnsi="Arial" w:cs="Arial"/>
                <w:b/>
                <w:lang w:val="it-IT"/>
              </w:rPr>
            </w:pP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  <w:tr w:rsidR="00DF04A0" w:rsidRPr="005F0343" w:rsidTr="00DF04A0">
        <w:tc>
          <w:tcPr>
            <w:tcW w:w="3451" w:type="dxa"/>
            <w:shd w:val="clear" w:color="auto" w:fill="auto"/>
          </w:tcPr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Pr="0047724B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6188" w:type="dxa"/>
            <w:shd w:val="clear" w:color="auto" w:fill="auto"/>
          </w:tcPr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…………………………………………</w:t>
            </w: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  <w:tr w:rsidR="00DF04A0" w:rsidRPr="00B434E7" w:rsidTr="00DF04A0">
        <w:tc>
          <w:tcPr>
            <w:tcW w:w="3451" w:type="dxa"/>
            <w:shd w:val="clear" w:color="auto" w:fill="auto"/>
          </w:tcPr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Pr="0047724B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r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6188" w:type="dxa"/>
            <w:shd w:val="clear" w:color="auto" w:fill="auto"/>
          </w:tcPr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………………………………………….</w:t>
            </w:r>
          </w:p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  <w:tr w:rsidR="00DF04A0" w:rsidRPr="00E423EC" w:rsidTr="00DF04A0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</w:tbl>
    <w:p w:rsidR="007874DB" w:rsidRDefault="007874DB" w:rsidP="008016C3">
      <w:pPr>
        <w:pStyle w:val="sche3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3D0C8E">
        <w:rPr>
          <w:rFonts w:ascii="Arial" w:hAnsi="Arial" w:cs="Arial"/>
          <w:b/>
          <w:iCs/>
          <w:lang w:val="it-IT"/>
        </w:rPr>
        <w:t>c</w:t>
      </w:r>
      <w:r w:rsidR="00FB3D8E">
        <w:rPr>
          <w:rFonts w:ascii="Arial" w:hAnsi="Arial" w:cs="Arial"/>
          <w:b/>
          <w:iCs/>
          <w:lang w:val="it-IT"/>
        </w:rPr>
        <w:t xml:space="preserve">) </w:t>
      </w:r>
      <w:r w:rsidR="00CB279E">
        <w:rPr>
          <w:rFonts w:ascii="Arial" w:hAnsi="Arial" w:cs="Arial"/>
          <w:iCs/>
          <w:lang w:val="it-IT"/>
        </w:rPr>
        <w:t xml:space="preserve"> </w:t>
      </w:r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>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6747AD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927D54">
        <w:rPr>
          <w:rFonts w:ascii="Arial" w:hAnsi="Arial" w:cs="Arial"/>
        </w:rPr>
      </w:r>
      <w:r w:rsidR="00927D54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6747AD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927D54">
        <w:rPr>
          <w:rFonts w:ascii="Arial" w:hAnsi="Arial" w:cs="Arial"/>
        </w:rPr>
      </w:r>
      <w:r w:rsidR="00927D54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6747AD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927D54">
        <w:rPr>
          <w:rFonts w:ascii="Arial" w:hAnsi="Arial" w:cs="Arial"/>
        </w:rPr>
      </w:r>
      <w:r w:rsidR="00927D5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>di</w:t>
      </w:r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6747AD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927D54">
        <w:rPr>
          <w:rFonts w:ascii="Arial" w:hAnsi="Arial" w:cs="Arial"/>
        </w:rPr>
      </w:r>
      <w:r w:rsidR="00927D5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6747AD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="00927D54">
        <w:rPr>
          <w:rFonts w:ascii="Arial" w:hAnsi="Arial" w:cs="Arial"/>
        </w:rPr>
      </w:r>
      <w:r w:rsidR="00927D5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>di</w:t>
      </w:r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lastRenderedPageBreak/>
        <w:t>o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6747AD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="00927D54">
        <w:rPr>
          <w:rFonts w:ascii="Arial" w:hAnsi="Arial" w:cs="Arial"/>
        </w:rPr>
      </w:r>
      <w:r w:rsidR="00927D5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r w:rsidR="00C82CA5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175229" w:rsidRDefault="0017522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Default="00201D33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C43" w:rsidRDefault="00455C43">
      <w:r>
        <w:separator/>
      </w:r>
    </w:p>
  </w:endnote>
  <w:endnote w:type="continuationSeparator" w:id="0">
    <w:p w:rsidR="00455C43" w:rsidRDefault="0045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27D54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C43" w:rsidRDefault="00455C43">
      <w:r>
        <w:separator/>
      </w:r>
    </w:p>
  </w:footnote>
  <w:footnote w:type="continuationSeparator" w:id="0">
    <w:p w:rsidR="00455C43" w:rsidRDefault="00455C43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opzioni, qualora sia selezionata la seconda opzione selezionare anche una delle due ulteriori opzioni</w:t>
      </w:r>
    </w:p>
    <w:p w:rsidR="00727D86" w:rsidRPr="003005F1" w:rsidRDefault="00727D86" w:rsidP="00727D86">
      <w:pPr>
        <w:pStyle w:val="Testonotaapidipagina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Testonotaapidipagina"/>
      </w:pPr>
    </w:p>
  </w:footnote>
  <w:footnote w:id="3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3F9F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4774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27D54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4F16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E934-DB77-4769-BBEF-1CBCA3A5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977</Words>
  <Characters>7986</Characters>
  <Application>Microsoft Office Word</Application>
  <DocSecurity>0</DocSecurity>
  <Lines>66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8946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Casale Stefano</cp:lastModifiedBy>
  <cp:revision>48</cp:revision>
  <cp:lastPrinted>2013-11-07T13:35:00Z</cp:lastPrinted>
  <dcterms:created xsi:type="dcterms:W3CDTF">2013-05-09T13:57:00Z</dcterms:created>
  <dcterms:modified xsi:type="dcterms:W3CDTF">2015-11-02T10:16:00Z</dcterms:modified>
</cp:coreProperties>
</file>